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0FD6">
        <w:trPr>
          <w:trHeight w:hRule="exact" w:val="1528"/>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5543" w:type="dxa"/>
            <w:gridSpan w:val="4"/>
            <w:shd w:val="clear" w:color="000000" w:fill="FFFFFF"/>
            <w:tcMar>
              <w:left w:w="34" w:type="dxa"/>
              <w:right w:w="34" w:type="dxa"/>
            </w:tcMar>
          </w:tcPr>
          <w:p w:rsidR="008A0FD6" w:rsidRDefault="00A1526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8A0FD6">
        <w:trPr>
          <w:trHeight w:hRule="exact" w:val="138"/>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585"/>
        </w:trPr>
        <w:tc>
          <w:tcPr>
            <w:tcW w:w="10221" w:type="dxa"/>
            <w:gridSpan w:val="10"/>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0FD6" w:rsidRDefault="00A152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0FD6">
        <w:trPr>
          <w:trHeight w:hRule="exact" w:val="314"/>
        </w:trPr>
        <w:tc>
          <w:tcPr>
            <w:tcW w:w="10221" w:type="dxa"/>
            <w:gridSpan w:val="10"/>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A0FD6">
        <w:trPr>
          <w:trHeight w:hRule="exact" w:val="211"/>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277"/>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3842"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УТВЕРЖДАЮ</w:t>
            </w:r>
          </w:p>
        </w:tc>
      </w:tr>
      <w:tr w:rsidR="008A0FD6">
        <w:trPr>
          <w:trHeight w:hRule="exact" w:val="972"/>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3842"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0FD6" w:rsidRDefault="008A0FD6">
            <w:pPr>
              <w:spacing w:after="0" w:line="240" w:lineRule="auto"/>
              <w:jc w:val="center"/>
              <w:rPr>
                <w:sz w:val="24"/>
                <w:szCs w:val="24"/>
              </w:rPr>
            </w:pPr>
          </w:p>
          <w:p w:rsidR="008A0FD6" w:rsidRDefault="00A152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0FD6">
        <w:trPr>
          <w:trHeight w:hRule="exact" w:val="277"/>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3842" w:type="dxa"/>
            <w:gridSpan w:val="2"/>
            <w:shd w:val="clear" w:color="000000" w:fill="FFFFFF"/>
            <w:tcMar>
              <w:left w:w="34" w:type="dxa"/>
              <w:right w:w="34" w:type="dxa"/>
            </w:tcMar>
          </w:tcPr>
          <w:p w:rsidR="008A0FD6" w:rsidRDefault="00A1526E">
            <w:pPr>
              <w:spacing w:after="0" w:line="240" w:lineRule="auto"/>
              <w:jc w:val="right"/>
              <w:rPr>
                <w:sz w:val="24"/>
                <w:szCs w:val="24"/>
              </w:rPr>
            </w:pPr>
            <w:r>
              <w:rPr>
                <w:rFonts w:ascii="Times New Roman" w:hAnsi="Times New Roman" w:cs="Times New Roman"/>
                <w:color w:val="000000"/>
                <w:sz w:val="24"/>
                <w:szCs w:val="24"/>
              </w:rPr>
              <w:t>28.03.2022</w:t>
            </w:r>
          </w:p>
        </w:tc>
      </w:tr>
      <w:tr w:rsidR="008A0FD6">
        <w:trPr>
          <w:trHeight w:hRule="exact" w:val="277"/>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416"/>
        </w:trPr>
        <w:tc>
          <w:tcPr>
            <w:tcW w:w="10221" w:type="dxa"/>
            <w:gridSpan w:val="10"/>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0FD6">
        <w:trPr>
          <w:trHeight w:hRule="exact" w:val="1135"/>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4834" w:type="dxa"/>
            <w:gridSpan w:val="5"/>
            <w:shd w:val="clear" w:color="000000" w:fill="FFFFFF"/>
            <w:tcMar>
              <w:left w:w="34" w:type="dxa"/>
              <w:right w:w="34" w:type="dxa"/>
            </w:tcMar>
          </w:tcPr>
          <w:p w:rsidR="008A0FD6" w:rsidRDefault="00A1526E">
            <w:pPr>
              <w:spacing w:after="0" w:line="240" w:lineRule="auto"/>
              <w:jc w:val="center"/>
              <w:rPr>
                <w:sz w:val="32"/>
                <w:szCs w:val="32"/>
              </w:rPr>
            </w:pPr>
            <w:r>
              <w:rPr>
                <w:rFonts w:ascii="Times New Roman" w:hAnsi="Times New Roman" w:cs="Times New Roman"/>
                <w:color w:val="000000"/>
                <w:sz w:val="32"/>
                <w:szCs w:val="32"/>
              </w:rPr>
              <w:t>Депозитарные операции с ценными бумагами (практикум)</w:t>
            </w:r>
          </w:p>
          <w:p w:rsidR="008A0FD6" w:rsidRDefault="00A1526E">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8A0FD6" w:rsidRDefault="008A0FD6"/>
        </w:tc>
      </w:tr>
      <w:tr w:rsidR="008A0FD6">
        <w:trPr>
          <w:trHeight w:hRule="exact" w:val="277"/>
        </w:trPr>
        <w:tc>
          <w:tcPr>
            <w:tcW w:w="10221" w:type="dxa"/>
            <w:gridSpan w:val="10"/>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0FD6">
        <w:trPr>
          <w:trHeight w:hRule="exact" w:val="1111"/>
        </w:trPr>
        <w:tc>
          <w:tcPr>
            <w:tcW w:w="143" w:type="dxa"/>
          </w:tcPr>
          <w:p w:rsidR="008A0FD6" w:rsidRDefault="008A0FD6"/>
        </w:tc>
        <w:tc>
          <w:tcPr>
            <w:tcW w:w="285" w:type="dxa"/>
          </w:tcPr>
          <w:p w:rsidR="008A0FD6" w:rsidRDefault="008A0FD6"/>
        </w:tc>
        <w:tc>
          <w:tcPr>
            <w:tcW w:w="9795" w:type="dxa"/>
            <w:gridSpan w:val="8"/>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A0FD6" w:rsidRDefault="00A152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A0FD6" w:rsidRDefault="00A152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0FD6">
        <w:trPr>
          <w:trHeight w:hRule="exact" w:val="833"/>
        </w:trPr>
        <w:tc>
          <w:tcPr>
            <w:tcW w:w="10221" w:type="dxa"/>
            <w:gridSpan w:val="10"/>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A0FD6">
        <w:trPr>
          <w:trHeight w:hRule="exact" w:val="277"/>
        </w:trPr>
        <w:tc>
          <w:tcPr>
            <w:tcW w:w="3984" w:type="dxa"/>
            <w:gridSpan w:val="5"/>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155"/>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ФИНАНСЫ И ЭКОНОМИКА</w:t>
            </w:r>
          </w:p>
        </w:tc>
      </w:tr>
      <w:tr w:rsidR="008A0F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A0F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ВНУТРЕННИЙ АУДИТОР</w:t>
            </w:r>
          </w:p>
        </w:tc>
      </w:tr>
      <w:tr w:rsidR="008A0F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АУДИТОР</w:t>
            </w:r>
          </w:p>
        </w:tc>
      </w:tr>
      <w:tr w:rsidR="008A0FD6">
        <w:trPr>
          <w:trHeight w:hRule="exact" w:val="124"/>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277"/>
        </w:trPr>
        <w:tc>
          <w:tcPr>
            <w:tcW w:w="5118" w:type="dxa"/>
            <w:gridSpan w:val="7"/>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A0FD6">
        <w:trPr>
          <w:trHeight w:hRule="exact" w:val="577"/>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5118" w:type="dxa"/>
            <w:gridSpan w:val="3"/>
            <w:vMerge/>
            <w:shd w:val="clear" w:color="000000" w:fill="FFFFFF"/>
            <w:tcMar>
              <w:left w:w="34" w:type="dxa"/>
              <w:right w:w="34" w:type="dxa"/>
            </w:tcMar>
          </w:tcPr>
          <w:p w:rsidR="008A0FD6" w:rsidRDefault="008A0FD6"/>
        </w:tc>
      </w:tr>
      <w:tr w:rsidR="008A0FD6">
        <w:trPr>
          <w:trHeight w:hRule="exact" w:val="2317"/>
        </w:trPr>
        <w:tc>
          <w:tcPr>
            <w:tcW w:w="143" w:type="dxa"/>
          </w:tcPr>
          <w:p w:rsidR="008A0FD6" w:rsidRDefault="008A0FD6"/>
        </w:tc>
        <w:tc>
          <w:tcPr>
            <w:tcW w:w="285" w:type="dxa"/>
          </w:tcPr>
          <w:p w:rsidR="008A0FD6" w:rsidRDefault="008A0FD6"/>
        </w:tc>
        <w:tc>
          <w:tcPr>
            <w:tcW w:w="710" w:type="dxa"/>
          </w:tcPr>
          <w:p w:rsidR="008A0FD6" w:rsidRDefault="008A0FD6"/>
        </w:tc>
        <w:tc>
          <w:tcPr>
            <w:tcW w:w="1419" w:type="dxa"/>
          </w:tcPr>
          <w:p w:rsidR="008A0FD6" w:rsidRDefault="008A0FD6"/>
        </w:tc>
        <w:tc>
          <w:tcPr>
            <w:tcW w:w="1419" w:type="dxa"/>
          </w:tcPr>
          <w:p w:rsidR="008A0FD6" w:rsidRDefault="008A0FD6"/>
        </w:tc>
        <w:tc>
          <w:tcPr>
            <w:tcW w:w="710" w:type="dxa"/>
          </w:tcPr>
          <w:p w:rsidR="008A0FD6" w:rsidRDefault="008A0FD6"/>
        </w:tc>
        <w:tc>
          <w:tcPr>
            <w:tcW w:w="426" w:type="dxa"/>
          </w:tcPr>
          <w:p w:rsidR="008A0FD6" w:rsidRDefault="008A0FD6"/>
        </w:tc>
        <w:tc>
          <w:tcPr>
            <w:tcW w:w="1277" w:type="dxa"/>
          </w:tcPr>
          <w:p w:rsidR="008A0FD6" w:rsidRDefault="008A0FD6"/>
        </w:tc>
        <w:tc>
          <w:tcPr>
            <w:tcW w:w="993" w:type="dxa"/>
          </w:tcPr>
          <w:p w:rsidR="008A0FD6" w:rsidRDefault="008A0FD6"/>
        </w:tc>
        <w:tc>
          <w:tcPr>
            <w:tcW w:w="2836" w:type="dxa"/>
          </w:tcPr>
          <w:p w:rsidR="008A0FD6" w:rsidRDefault="008A0FD6"/>
        </w:tc>
      </w:tr>
      <w:tr w:rsidR="008A0FD6">
        <w:trPr>
          <w:trHeight w:hRule="exact" w:val="277"/>
        </w:trPr>
        <w:tc>
          <w:tcPr>
            <w:tcW w:w="143" w:type="dxa"/>
          </w:tcPr>
          <w:p w:rsidR="008A0FD6" w:rsidRDefault="008A0FD6"/>
        </w:tc>
        <w:tc>
          <w:tcPr>
            <w:tcW w:w="10079" w:type="dxa"/>
            <w:gridSpan w:val="9"/>
            <w:vMerge w:val="restart"/>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0FD6">
        <w:trPr>
          <w:trHeight w:hRule="exact" w:val="138"/>
        </w:trPr>
        <w:tc>
          <w:tcPr>
            <w:tcW w:w="143" w:type="dxa"/>
          </w:tcPr>
          <w:p w:rsidR="008A0FD6" w:rsidRDefault="008A0FD6"/>
        </w:tc>
        <w:tc>
          <w:tcPr>
            <w:tcW w:w="10079" w:type="dxa"/>
            <w:gridSpan w:val="9"/>
            <w:vMerge/>
            <w:shd w:val="clear" w:color="000000" w:fill="FFFFFF"/>
            <w:tcMar>
              <w:left w:w="34" w:type="dxa"/>
              <w:right w:w="34" w:type="dxa"/>
            </w:tcMar>
          </w:tcPr>
          <w:p w:rsidR="008A0FD6" w:rsidRDefault="008A0FD6"/>
        </w:tc>
      </w:tr>
      <w:tr w:rsidR="008A0FD6">
        <w:trPr>
          <w:trHeight w:hRule="exact" w:val="1666"/>
        </w:trPr>
        <w:tc>
          <w:tcPr>
            <w:tcW w:w="143" w:type="dxa"/>
          </w:tcPr>
          <w:p w:rsidR="008A0FD6" w:rsidRDefault="008A0FD6"/>
        </w:tc>
        <w:tc>
          <w:tcPr>
            <w:tcW w:w="10079" w:type="dxa"/>
            <w:gridSpan w:val="9"/>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0FD6" w:rsidRDefault="008A0FD6">
            <w:pPr>
              <w:spacing w:after="0" w:line="240" w:lineRule="auto"/>
              <w:jc w:val="center"/>
              <w:rPr>
                <w:sz w:val="24"/>
                <w:szCs w:val="24"/>
              </w:rPr>
            </w:pPr>
          </w:p>
          <w:p w:rsidR="008A0FD6" w:rsidRDefault="00A1526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0FD6" w:rsidRDefault="008A0FD6">
            <w:pPr>
              <w:spacing w:after="0" w:line="240" w:lineRule="auto"/>
              <w:jc w:val="center"/>
              <w:rPr>
                <w:sz w:val="24"/>
                <w:szCs w:val="24"/>
              </w:rPr>
            </w:pPr>
          </w:p>
          <w:p w:rsidR="008A0FD6" w:rsidRDefault="00A1526E">
            <w:pPr>
              <w:spacing w:after="0" w:line="240" w:lineRule="auto"/>
              <w:jc w:val="center"/>
              <w:rPr>
                <w:sz w:val="24"/>
                <w:szCs w:val="24"/>
              </w:rPr>
            </w:pPr>
            <w:r>
              <w:rPr>
                <w:rFonts w:ascii="Times New Roman" w:hAnsi="Times New Roman" w:cs="Times New Roman"/>
                <w:color w:val="000000"/>
                <w:sz w:val="24"/>
                <w:szCs w:val="24"/>
              </w:rPr>
              <w:t>Омск, 2022</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0FD6">
        <w:trPr>
          <w:trHeight w:hRule="exact" w:val="2222"/>
        </w:trPr>
        <w:tc>
          <w:tcPr>
            <w:tcW w:w="10788"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A0FD6" w:rsidRDefault="00A1526E">
            <w:pPr>
              <w:spacing w:after="0" w:line="240" w:lineRule="auto"/>
              <w:rPr>
                <w:sz w:val="24"/>
                <w:szCs w:val="24"/>
              </w:rPr>
            </w:pPr>
            <w:r>
              <w:rPr>
                <w:rFonts w:ascii="Times New Roman" w:hAnsi="Times New Roman" w:cs="Times New Roman"/>
                <w:color w:val="000000"/>
                <w:sz w:val="24"/>
                <w:szCs w:val="24"/>
              </w:rPr>
              <w:t>Протокол от 25.03.2022 г.  №8</w:t>
            </w:r>
          </w:p>
        </w:tc>
      </w:tr>
      <w:tr w:rsidR="008A0FD6">
        <w:trPr>
          <w:trHeight w:hRule="exact" w:val="277"/>
        </w:trPr>
        <w:tc>
          <w:tcPr>
            <w:tcW w:w="10788"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277"/>
        </w:trPr>
        <w:tc>
          <w:tcPr>
            <w:tcW w:w="9654" w:type="dxa"/>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0FD6">
        <w:trPr>
          <w:trHeight w:hRule="exact" w:val="555"/>
        </w:trPr>
        <w:tc>
          <w:tcPr>
            <w:tcW w:w="9640" w:type="dxa"/>
          </w:tcPr>
          <w:p w:rsidR="008A0FD6" w:rsidRDefault="008A0FD6"/>
        </w:tc>
      </w:tr>
      <w:tr w:rsidR="008A0FD6">
        <w:trPr>
          <w:trHeight w:hRule="exact" w:val="8751"/>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0FD6" w:rsidRDefault="00A152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0FD6" w:rsidRDefault="00A152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0FD6" w:rsidRDefault="00A152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0FD6" w:rsidRDefault="00A152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0FD6" w:rsidRDefault="00A152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0FD6" w:rsidRDefault="00A152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0FD6" w:rsidRDefault="00A152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0FD6" w:rsidRDefault="00A152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0FD6" w:rsidRDefault="00A152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0FD6" w:rsidRDefault="00A152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0FD6" w:rsidRDefault="00A152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277"/>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0FD6">
        <w:trPr>
          <w:trHeight w:hRule="exact" w:val="14889"/>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0FD6" w:rsidRDefault="00A152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A0FD6" w:rsidRDefault="00A152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0FD6" w:rsidRDefault="00A152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FD6" w:rsidRDefault="00A152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8A0FD6" w:rsidRDefault="00A152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«Депозитарные операции с ценными бумагами (практикум)» в течение 2022/2023 учебного года:</w:t>
            </w:r>
          </w:p>
          <w:p w:rsidR="008A0FD6" w:rsidRDefault="00A152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1396"/>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«Депозитарные операции с ценными бумагами (практикум)».</w:t>
            </w:r>
          </w:p>
          <w:p w:rsidR="008A0FD6" w:rsidRDefault="00A152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0FD6">
        <w:trPr>
          <w:trHeight w:hRule="exact" w:val="139"/>
        </w:trPr>
        <w:tc>
          <w:tcPr>
            <w:tcW w:w="9640" w:type="dxa"/>
          </w:tcPr>
          <w:p w:rsidR="008A0FD6" w:rsidRDefault="008A0FD6"/>
        </w:tc>
      </w:tr>
      <w:tr w:rsidR="008A0FD6">
        <w:trPr>
          <w:trHeight w:hRule="exact" w:val="3530"/>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0FD6" w:rsidRDefault="00A152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«Депозитарные операции с ценными бумагами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0F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Код компетенции: ПК-2</w:t>
            </w:r>
          </w:p>
          <w:p w:rsidR="008A0FD6" w:rsidRDefault="00A1526E">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8A0FD6">
        <w:trPr>
          <w:trHeight w:hRule="exact" w:val="585"/>
        </w:trPr>
        <w:tc>
          <w:tcPr>
            <w:tcW w:w="9654" w:type="dxa"/>
            <w:shd w:val="clear" w:color="000000" w:fill="FFFFFF"/>
            <w:tcMar>
              <w:left w:w="34" w:type="dxa"/>
              <w:right w:w="34" w:type="dxa"/>
            </w:tcMar>
          </w:tcPr>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F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8A0F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8A0F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8A0F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8A0F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8A0F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8A0F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8A0F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8A0F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8A0F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A0FD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8A0FD6" w:rsidRDefault="00A1526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A0FD6">
        <w:trPr>
          <w:trHeight w:hRule="exact" w:val="585"/>
        </w:trPr>
        <w:tc>
          <w:tcPr>
            <w:tcW w:w="9654" w:type="dxa"/>
            <w:gridSpan w:val="4"/>
            <w:shd w:val="clear" w:color="000000" w:fill="FFFFFF"/>
            <w:tcMar>
              <w:left w:w="34" w:type="dxa"/>
              <w:right w:w="34" w:type="dxa"/>
            </w:tcMar>
          </w:tcPr>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F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A0FD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8A0F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A0FD6">
        <w:trPr>
          <w:trHeight w:hRule="exact" w:val="416"/>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304"/>
        </w:trPr>
        <w:tc>
          <w:tcPr>
            <w:tcW w:w="9654" w:type="dxa"/>
            <w:gridSpan w:val="4"/>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0FD6">
        <w:trPr>
          <w:trHeight w:hRule="exact" w:val="1637"/>
        </w:trPr>
        <w:tc>
          <w:tcPr>
            <w:tcW w:w="9654" w:type="dxa"/>
            <w:gridSpan w:val="4"/>
            <w:shd w:val="clear" w:color="000000" w:fill="FFFFFF"/>
            <w:tcMar>
              <w:left w:w="34" w:type="dxa"/>
              <w:right w:w="34" w:type="dxa"/>
            </w:tcMar>
          </w:tcPr>
          <w:p w:rsidR="008A0FD6" w:rsidRDefault="008A0FD6">
            <w:pPr>
              <w:spacing w:after="0" w:line="240" w:lineRule="auto"/>
              <w:jc w:val="both"/>
              <w:rPr>
                <w:sz w:val="24"/>
                <w:szCs w:val="24"/>
              </w:rPr>
            </w:pPr>
          </w:p>
          <w:p w:rsidR="008A0FD6" w:rsidRDefault="00A1526E">
            <w:pPr>
              <w:spacing w:after="0" w:line="240" w:lineRule="auto"/>
              <w:jc w:val="both"/>
              <w:rPr>
                <w:sz w:val="24"/>
                <w:szCs w:val="24"/>
              </w:rPr>
            </w:pPr>
            <w:r>
              <w:rPr>
                <w:rFonts w:ascii="Times New Roman" w:hAnsi="Times New Roman" w:cs="Times New Roman"/>
                <w:color w:val="000000"/>
                <w:sz w:val="24"/>
                <w:szCs w:val="24"/>
              </w:rPr>
              <w:t>Дисциплина К.М.02.ДВ.01.01 «Депозитарные операции с ценными бумагами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8A0FD6">
        <w:trPr>
          <w:trHeight w:hRule="exact" w:val="138"/>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Коды</w:t>
            </w:r>
          </w:p>
          <w:p w:rsidR="008A0FD6" w:rsidRDefault="00A1526E">
            <w:pPr>
              <w:spacing w:after="0" w:line="240" w:lineRule="auto"/>
              <w:jc w:val="center"/>
              <w:rPr>
                <w:sz w:val="24"/>
                <w:szCs w:val="24"/>
              </w:rPr>
            </w:pPr>
            <w:r>
              <w:rPr>
                <w:rFonts w:ascii="Times New Roman" w:hAnsi="Times New Roman" w:cs="Times New Roman"/>
                <w:color w:val="000000"/>
                <w:sz w:val="24"/>
                <w:szCs w:val="24"/>
              </w:rPr>
              <w:t>форми-</w:t>
            </w:r>
          </w:p>
          <w:p w:rsidR="008A0FD6" w:rsidRDefault="00A1526E">
            <w:pPr>
              <w:spacing w:after="0" w:line="240" w:lineRule="auto"/>
              <w:jc w:val="center"/>
              <w:rPr>
                <w:sz w:val="24"/>
                <w:szCs w:val="24"/>
              </w:rPr>
            </w:pPr>
            <w:r>
              <w:rPr>
                <w:rFonts w:ascii="Times New Roman" w:hAnsi="Times New Roman" w:cs="Times New Roman"/>
                <w:color w:val="000000"/>
                <w:sz w:val="24"/>
                <w:szCs w:val="24"/>
              </w:rPr>
              <w:t>руемых</w:t>
            </w:r>
          </w:p>
          <w:p w:rsidR="008A0FD6" w:rsidRDefault="00A1526E">
            <w:pPr>
              <w:spacing w:after="0" w:line="240" w:lineRule="auto"/>
              <w:jc w:val="center"/>
              <w:rPr>
                <w:sz w:val="24"/>
                <w:szCs w:val="24"/>
              </w:rPr>
            </w:pPr>
            <w:r>
              <w:rPr>
                <w:rFonts w:ascii="Times New Roman" w:hAnsi="Times New Roman" w:cs="Times New Roman"/>
                <w:color w:val="000000"/>
                <w:sz w:val="24"/>
                <w:szCs w:val="24"/>
              </w:rPr>
              <w:t>компе-</w:t>
            </w:r>
          </w:p>
          <w:p w:rsidR="008A0FD6" w:rsidRDefault="00A1526E">
            <w:pPr>
              <w:spacing w:after="0" w:line="240" w:lineRule="auto"/>
              <w:jc w:val="center"/>
              <w:rPr>
                <w:sz w:val="24"/>
                <w:szCs w:val="24"/>
              </w:rPr>
            </w:pPr>
            <w:r>
              <w:rPr>
                <w:rFonts w:ascii="Times New Roman" w:hAnsi="Times New Roman" w:cs="Times New Roman"/>
                <w:color w:val="000000"/>
                <w:sz w:val="24"/>
                <w:szCs w:val="24"/>
              </w:rPr>
              <w:t>тенций</w:t>
            </w:r>
          </w:p>
        </w:tc>
      </w:tr>
      <w:tr w:rsidR="008A0F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8A0FD6"/>
        </w:tc>
      </w:tr>
      <w:tr w:rsidR="008A0F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8A0FD6"/>
        </w:tc>
      </w:tr>
      <w:tr w:rsidR="008A0FD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pPr>
            <w:r>
              <w:rPr>
                <w:rFonts w:ascii="Times New Roman" w:hAnsi="Times New Roman" w:cs="Times New Roman"/>
                <w:color w:val="000000"/>
              </w:rPr>
              <w:t>Инвестиционная банковская деятельность</w:t>
            </w:r>
          </w:p>
          <w:p w:rsidR="008A0FD6" w:rsidRDefault="00A1526E">
            <w:pPr>
              <w:spacing w:after="0" w:line="240" w:lineRule="auto"/>
              <w:jc w:val="center"/>
            </w:pPr>
            <w:r>
              <w:rPr>
                <w:rFonts w:ascii="Times New Roman" w:hAnsi="Times New Roman" w:cs="Times New Roman"/>
                <w:color w:val="000000"/>
              </w:rPr>
              <w:t>Инвестиционный менеджмент и маркетинг</w:t>
            </w:r>
          </w:p>
          <w:p w:rsidR="008A0FD6" w:rsidRDefault="00A1526E">
            <w:pPr>
              <w:spacing w:after="0" w:line="240" w:lineRule="auto"/>
              <w:jc w:val="center"/>
            </w:pPr>
            <w:r>
              <w:rPr>
                <w:rFonts w:ascii="Times New Roman" w:hAnsi="Times New Roman" w:cs="Times New Roman"/>
                <w:color w:val="000000"/>
              </w:rPr>
              <w:t>Система розничных финансовых услуг</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pPr>
            <w:r>
              <w:rPr>
                <w:rFonts w:ascii="Times New Roman" w:hAnsi="Times New Roman" w:cs="Times New Roman"/>
                <w:color w:val="000000"/>
              </w:rPr>
              <w:t>Анализ и оценка рисков хозяйствующего субъекта</w:t>
            </w:r>
          </w:p>
          <w:p w:rsidR="008A0FD6" w:rsidRDefault="00A1526E">
            <w:pPr>
              <w:spacing w:after="0" w:line="240" w:lineRule="auto"/>
              <w:jc w:val="center"/>
            </w:pPr>
            <w:r>
              <w:rPr>
                <w:rFonts w:ascii="Times New Roman" w:hAnsi="Times New Roman" w:cs="Times New Roman"/>
                <w:color w:val="000000"/>
              </w:rPr>
              <w:t>Информационные технологии управления рисками</w:t>
            </w:r>
          </w:p>
          <w:p w:rsidR="008A0FD6" w:rsidRDefault="00A1526E">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ПК-2, УК-4</w:t>
            </w:r>
          </w:p>
        </w:tc>
      </w:tr>
      <w:tr w:rsidR="008A0FD6">
        <w:trPr>
          <w:trHeight w:hRule="exact" w:val="138"/>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1125"/>
        </w:trPr>
        <w:tc>
          <w:tcPr>
            <w:tcW w:w="9654" w:type="dxa"/>
            <w:gridSpan w:val="4"/>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0FD6">
        <w:trPr>
          <w:trHeight w:hRule="exact" w:val="585"/>
        </w:trPr>
        <w:tc>
          <w:tcPr>
            <w:tcW w:w="9654" w:type="dxa"/>
            <w:gridSpan w:val="4"/>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0FD6" w:rsidRDefault="00A1526E">
            <w:pPr>
              <w:spacing w:after="0" w:line="240" w:lineRule="auto"/>
              <w:jc w:val="center"/>
              <w:rPr>
                <w:sz w:val="24"/>
                <w:szCs w:val="24"/>
              </w:rPr>
            </w:pPr>
            <w:r>
              <w:rPr>
                <w:rFonts w:ascii="Times New Roman" w:hAnsi="Times New Roman" w:cs="Times New Roman"/>
                <w:color w:val="000000"/>
                <w:sz w:val="24"/>
                <w:szCs w:val="24"/>
              </w:rPr>
              <w:t>Из них:</w:t>
            </w:r>
          </w:p>
        </w:tc>
      </w:tr>
      <w:tr w:rsidR="008A0FD6">
        <w:trPr>
          <w:trHeight w:hRule="exact" w:val="138"/>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54</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8</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0</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46</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0</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54</w:t>
            </w:r>
          </w:p>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0</w:t>
            </w:r>
          </w:p>
        </w:tc>
      </w:tr>
      <w:tr w:rsidR="008A0FD6">
        <w:trPr>
          <w:trHeight w:hRule="exact" w:val="416"/>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зачеты 6</w:t>
            </w:r>
          </w:p>
        </w:tc>
      </w:tr>
      <w:tr w:rsidR="008A0FD6">
        <w:trPr>
          <w:trHeight w:hRule="exact" w:val="277"/>
        </w:trPr>
        <w:tc>
          <w:tcPr>
            <w:tcW w:w="3970" w:type="dxa"/>
          </w:tcPr>
          <w:p w:rsidR="008A0FD6" w:rsidRDefault="008A0FD6"/>
        </w:tc>
        <w:tc>
          <w:tcPr>
            <w:tcW w:w="3828" w:type="dxa"/>
          </w:tcPr>
          <w:p w:rsidR="008A0FD6" w:rsidRDefault="008A0FD6"/>
        </w:tc>
        <w:tc>
          <w:tcPr>
            <w:tcW w:w="852" w:type="dxa"/>
          </w:tcPr>
          <w:p w:rsidR="008A0FD6" w:rsidRDefault="008A0FD6"/>
        </w:tc>
        <w:tc>
          <w:tcPr>
            <w:tcW w:w="993" w:type="dxa"/>
          </w:tcPr>
          <w:p w:rsidR="008A0FD6" w:rsidRDefault="008A0FD6"/>
        </w:tc>
      </w:tr>
      <w:tr w:rsidR="008A0FD6">
        <w:trPr>
          <w:trHeight w:hRule="exact" w:val="1574"/>
        </w:trPr>
        <w:tc>
          <w:tcPr>
            <w:tcW w:w="9654" w:type="dxa"/>
            <w:gridSpan w:val="4"/>
            <w:shd w:val="clear" w:color="000000" w:fill="FFFFFF"/>
            <w:tcMar>
              <w:left w:w="34" w:type="dxa"/>
              <w:right w:w="34" w:type="dxa"/>
            </w:tcMar>
          </w:tcPr>
          <w:p w:rsidR="008A0FD6" w:rsidRDefault="008A0FD6">
            <w:pPr>
              <w:spacing w:after="0" w:line="240" w:lineRule="auto"/>
              <w:jc w:val="center"/>
              <w:rPr>
                <w:sz w:val="24"/>
                <w:szCs w:val="24"/>
              </w:rPr>
            </w:pPr>
          </w:p>
          <w:p w:rsidR="008A0FD6" w:rsidRDefault="00A152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0FD6">
        <w:trPr>
          <w:trHeight w:hRule="exact" w:val="314"/>
        </w:trPr>
        <w:tc>
          <w:tcPr>
            <w:tcW w:w="9654" w:type="dxa"/>
            <w:gridSpan w:val="4"/>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A0FD6">
        <w:trPr>
          <w:trHeight w:hRule="exact" w:val="416"/>
        </w:trPr>
        <w:tc>
          <w:tcPr>
            <w:tcW w:w="5671" w:type="dxa"/>
          </w:tcPr>
          <w:p w:rsidR="008A0FD6" w:rsidRDefault="008A0FD6"/>
        </w:tc>
        <w:tc>
          <w:tcPr>
            <w:tcW w:w="1702" w:type="dxa"/>
          </w:tcPr>
          <w:p w:rsidR="008A0FD6" w:rsidRDefault="008A0FD6"/>
        </w:tc>
        <w:tc>
          <w:tcPr>
            <w:tcW w:w="1135" w:type="dxa"/>
          </w:tcPr>
          <w:p w:rsidR="008A0FD6" w:rsidRDefault="008A0FD6"/>
        </w:tc>
        <w:tc>
          <w:tcPr>
            <w:tcW w:w="1135" w:type="dxa"/>
          </w:tcPr>
          <w:p w:rsidR="008A0FD6" w:rsidRDefault="008A0FD6"/>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FD6" w:rsidRDefault="00A1526E">
            <w:pPr>
              <w:spacing w:after="0" w:line="240" w:lineRule="auto"/>
              <w:jc w:val="center"/>
              <w:rPr>
                <w:sz w:val="24"/>
                <w:szCs w:val="24"/>
              </w:rPr>
            </w:pPr>
            <w:r>
              <w:rPr>
                <w:rFonts w:ascii="Times New Roman" w:hAnsi="Times New Roman" w:cs="Times New Roman"/>
                <w:color w:val="000000"/>
                <w:sz w:val="24"/>
                <w:szCs w:val="24"/>
              </w:rPr>
              <w:t>Часов</w:t>
            </w:r>
          </w:p>
        </w:tc>
      </w:tr>
      <w:tr w:rsidR="008A0F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Тема 1.Сущность и виды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2</w:t>
            </w:r>
          </w:p>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Тема 2.Понятие депозитарных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2</w:t>
            </w:r>
          </w:p>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Тема 3.Технологии работы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2</w:t>
            </w:r>
          </w:p>
        </w:tc>
      </w:tr>
      <w:tr w:rsidR="008A0F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Депозитарная инфраструктура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12</w:t>
            </w:r>
          </w:p>
        </w:tc>
      </w:tr>
      <w:tr w:rsidR="008A0F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Государственное регулирование рынка ценных бумаг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r>
      <w:tr w:rsidR="008A0F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Инфраструктура рынка ценных бумаг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16</w:t>
            </w:r>
          </w:p>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8A0F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12</w:t>
            </w:r>
          </w:p>
        </w:tc>
      </w:tr>
      <w:tr w:rsidR="008A0F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Подготовка рефератов по проблемам:Классификация ценных бумаг. Акции,курсы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54</w:t>
            </w:r>
          </w:p>
        </w:tc>
      </w:tr>
      <w:tr w:rsidR="008A0F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FD6" w:rsidRDefault="008A0FD6"/>
        </w:tc>
      </w:tr>
      <w:tr w:rsidR="008A0F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Тема 4. Услуги депозитария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2</w:t>
            </w:r>
          </w:p>
        </w:tc>
      </w:tr>
      <w:tr w:rsidR="008A0F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8A0F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color w:val="000000"/>
                <w:sz w:val="24"/>
                <w:szCs w:val="24"/>
              </w:rPr>
              <w:t>108</w:t>
            </w:r>
          </w:p>
        </w:tc>
      </w:tr>
      <w:tr w:rsidR="008A0FD6">
        <w:trPr>
          <w:trHeight w:hRule="exact" w:val="9388"/>
        </w:trPr>
        <w:tc>
          <w:tcPr>
            <w:tcW w:w="9654" w:type="dxa"/>
            <w:gridSpan w:val="4"/>
            <w:shd w:val="clear" w:color="000000" w:fill="FFFFFF"/>
            <w:tcMar>
              <w:left w:w="34" w:type="dxa"/>
              <w:right w:w="34" w:type="dxa"/>
            </w:tcMar>
          </w:tcPr>
          <w:p w:rsidR="008A0FD6" w:rsidRDefault="008A0FD6">
            <w:pPr>
              <w:spacing w:after="0" w:line="240" w:lineRule="auto"/>
              <w:jc w:val="both"/>
              <w:rPr>
                <w:sz w:val="20"/>
                <w:szCs w:val="20"/>
              </w:rPr>
            </w:pPr>
          </w:p>
          <w:p w:rsidR="008A0FD6" w:rsidRDefault="00A1526E">
            <w:pPr>
              <w:spacing w:after="0" w:line="240" w:lineRule="auto"/>
              <w:jc w:val="both"/>
              <w:rPr>
                <w:sz w:val="20"/>
                <w:szCs w:val="20"/>
              </w:rPr>
            </w:pPr>
            <w:r>
              <w:rPr>
                <w:rFonts w:ascii="Times New Roman" w:hAnsi="Times New Roman" w:cs="Times New Roman"/>
                <w:color w:val="000000"/>
                <w:sz w:val="20"/>
                <w:szCs w:val="20"/>
              </w:rPr>
              <w:t>* Примечания:</w:t>
            </w:r>
          </w:p>
          <w:p w:rsidR="008A0FD6" w:rsidRDefault="00A152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0FD6" w:rsidRDefault="00A152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0FD6" w:rsidRDefault="00A152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0FD6" w:rsidRDefault="00A152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0FD6" w:rsidRDefault="00A152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8579"/>
        </w:trPr>
        <w:tc>
          <w:tcPr>
            <w:tcW w:w="9654" w:type="dxa"/>
            <w:shd w:val="clear" w:color="000000" w:fill="FFFFFF"/>
            <w:tcMar>
              <w:left w:w="34" w:type="dxa"/>
              <w:right w:w="34" w:type="dxa"/>
            </w:tcMar>
          </w:tcPr>
          <w:p w:rsidR="008A0FD6" w:rsidRDefault="00A1526E">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8A0FD6" w:rsidRDefault="00A152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0FD6" w:rsidRDefault="00A152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0FD6" w:rsidRDefault="00A152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0FD6">
        <w:trPr>
          <w:trHeight w:hRule="exact" w:val="585"/>
        </w:trPr>
        <w:tc>
          <w:tcPr>
            <w:tcW w:w="9654" w:type="dxa"/>
            <w:shd w:val="clear" w:color="000000" w:fill="FFFFFF"/>
            <w:tcMar>
              <w:left w:w="34" w:type="dxa"/>
              <w:right w:w="34" w:type="dxa"/>
            </w:tcMar>
          </w:tcPr>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0FD6">
        <w:trPr>
          <w:trHeight w:hRule="exact" w:val="277"/>
        </w:trPr>
        <w:tc>
          <w:tcPr>
            <w:tcW w:w="9654" w:type="dxa"/>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0FD6">
        <w:trPr>
          <w:trHeight w:hRule="exact" w:val="26"/>
        </w:trPr>
        <w:tc>
          <w:tcPr>
            <w:tcW w:w="9654" w:type="dxa"/>
            <w:vMerge w:val="restart"/>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Тема 1.Сущность и виды ценных бумаг</w:t>
            </w:r>
          </w:p>
        </w:tc>
      </w:tr>
      <w:tr w:rsidR="008A0FD6">
        <w:trPr>
          <w:trHeight w:hRule="exact" w:val="277"/>
        </w:trPr>
        <w:tc>
          <w:tcPr>
            <w:tcW w:w="9654" w:type="dxa"/>
            <w:vMerge/>
            <w:shd w:val="clear" w:color="000000" w:fill="FFFFFF"/>
            <w:tcMar>
              <w:left w:w="34" w:type="dxa"/>
              <w:right w:w="34" w:type="dxa"/>
            </w:tcMar>
          </w:tcPr>
          <w:p w:rsidR="008A0FD6" w:rsidRDefault="008A0FD6"/>
        </w:tc>
      </w:tr>
      <w:tr w:rsidR="008A0FD6">
        <w:trPr>
          <w:trHeight w:hRule="exact" w:val="1096"/>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Тема 2.Понятие депозитарных услуг</w:t>
            </w:r>
          </w:p>
        </w:tc>
      </w:tr>
      <w:tr w:rsidR="008A0FD6">
        <w:trPr>
          <w:trHeight w:hRule="exact" w:val="826"/>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Тема 3.Технологии работы с  ценными бумагами</w:t>
            </w:r>
          </w:p>
        </w:tc>
      </w:tr>
      <w:tr w:rsidR="008A0FD6">
        <w:trPr>
          <w:trHeight w:hRule="exact" w:val="2178"/>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Ценная бумага — денежный документ, удостоверяющий право собственности на капитал или устанавливающий отношения займа между эмитентом и инвестором.</w:t>
            </w:r>
          </w:p>
          <w:p w:rsidR="008A0FD6" w:rsidRDefault="00A1526E">
            <w:pPr>
              <w:spacing w:after="0" w:line="240" w:lineRule="auto"/>
              <w:jc w:val="both"/>
              <w:rPr>
                <w:sz w:val="24"/>
                <w:szCs w:val="24"/>
              </w:rPr>
            </w:pPr>
            <w:r>
              <w:rPr>
                <w:rFonts w:ascii="Times New Roman" w:hAnsi="Times New Roman" w:cs="Times New Roman"/>
                <w:color w:val="000000"/>
                <w:sz w:val="24"/>
                <w:szCs w:val="24"/>
              </w:rPr>
              <w:t>Ценная бумага обладает определенным набором характеристик (признаков). В экономической литературе различают такие понятия, как:</w:t>
            </w:r>
          </w:p>
          <w:p w:rsidR="008A0FD6" w:rsidRDefault="00A1526E">
            <w:pPr>
              <w:spacing w:after="0" w:line="240" w:lineRule="auto"/>
              <w:jc w:val="both"/>
              <w:rPr>
                <w:sz w:val="24"/>
                <w:szCs w:val="24"/>
              </w:rPr>
            </w:pPr>
            <w:r>
              <w:rPr>
                <w:rFonts w:ascii="Times New Roman" w:hAnsi="Times New Roman" w:cs="Times New Roman"/>
                <w:color w:val="000000"/>
                <w:sz w:val="24"/>
                <w:szCs w:val="24"/>
              </w:rPr>
              <w:t>• • классификация ценных бумаг — это деление ценных бумаг по определенным признакам, которые им присуши;</w:t>
            </w:r>
          </w:p>
          <w:p w:rsidR="008A0FD6" w:rsidRDefault="00A1526E">
            <w:pPr>
              <w:spacing w:after="0" w:line="240" w:lineRule="auto"/>
              <w:jc w:val="both"/>
              <w:rPr>
                <w:sz w:val="24"/>
                <w:szCs w:val="24"/>
              </w:rPr>
            </w:pPr>
            <w:r>
              <w:rPr>
                <w:rFonts w:ascii="Times New Roman" w:hAnsi="Times New Roman" w:cs="Times New Roman"/>
                <w:color w:val="000000"/>
                <w:sz w:val="24"/>
                <w:szCs w:val="24"/>
              </w:rPr>
              <w:t>• • вид ценных бумаг — совокупность ценных бумаг, для которой все признаки, присущие ценным бумагам, общие, одинаковые.</w:t>
            </w:r>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Тема 4. Услуги депозитария</w:t>
            </w:r>
          </w:p>
        </w:tc>
      </w:tr>
      <w:tr w:rsidR="008A0FD6">
        <w:trPr>
          <w:trHeight w:hRule="exact" w:val="630"/>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открытие и ведение счетов депо клиентов;</w:t>
            </w:r>
          </w:p>
          <w:p w:rsidR="008A0FD6" w:rsidRDefault="00A1526E">
            <w:pPr>
              <w:spacing w:after="0" w:line="240" w:lineRule="auto"/>
              <w:jc w:val="both"/>
              <w:rPr>
                <w:sz w:val="24"/>
                <w:szCs w:val="24"/>
              </w:rPr>
            </w:pPr>
            <w:r>
              <w:rPr>
                <w:rFonts w:ascii="Times New Roman" w:hAnsi="Times New Roman" w:cs="Times New Roman"/>
                <w:color w:val="000000"/>
                <w:sz w:val="24"/>
                <w:szCs w:val="24"/>
              </w:rPr>
              <w:t>• хранение и учет всех видов ценных бумаг, включая акции, облигации, паи,</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0FD6">
        <w:trPr>
          <w:trHeight w:hRule="exact" w:val="1907"/>
        </w:trPr>
        <w:tc>
          <w:tcPr>
            <w:tcW w:w="9654" w:type="dxa"/>
            <w:gridSpan w:val="2"/>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lastRenderedPageBreak/>
              <w:t>векселя, международных финансовых инструментов (еврооблигации, АДР, ГДР);</w:t>
            </w:r>
          </w:p>
          <w:p w:rsidR="008A0FD6" w:rsidRDefault="00A1526E">
            <w:pPr>
              <w:spacing w:after="0" w:line="240" w:lineRule="auto"/>
              <w:jc w:val="both"/>
              <w:rPr>
                <w:sz w:val="24"/>
                <w:szCs w:val="24"/>
              </w:rPr>
            </w:pPr>
            <w:r>
              <w:rPr>
                <w:rFonts w:ascii="Times New Roman" w:hAnsi="Times New Roman" w:cs="Times New Roman"/>
                <w:color w:val="000000"/>
                <w:sz w:val="24"/>
                <w:szCs w:val="24"/>
              </w:rPr>
              <w:t>• консультирование и проведение комплексных структурированных операций с ценными бумагами;</w:t>
            </w:r>
          </w:p>
          <w:p w:rsidR="008A0FD6" w:rsidRDefault="00A1526E">
            <w:pPr>
              <w:spacing w:after="0" w:line="240" w:lineRule="auto"/>
              <w:jc w:val="both"/>
              <w:rPr>
                <w:sz w:val="24"/>
                <w:szCs w:val="24"/>
              </w:rPr>
            </w:pPr>
            <w:r>
              <w:rPr>
                <w:rFonts w:ascii="Times New Roman" w:hAnsi="Times New Roman" w:cs="Times New Roman"/>
                <w:color w:val="000000"/>
                <w:sz w:val="24"/>
                <w:szCs w:val="24"/>
              </w:rPr>
              <w:t>• перерегистрация прав собственности на ценные бумаги, в том числе при выполнении определенного условия;</w:t>
            </w:r>
          </w:p>
          <w:p w:rsidR="008A0FD6" w:rsidRDefault="00A1526E">
            <w:pPr>
              <w:spacing w:after="0" w:line="240" w:lineRule="auto"/>
              <w:jc w:val="both"/>
              <w:rPr>
                <w:sz w:val="24"/>
                <w:szCs w:val="24"/>
              </w:rPr>
            </w:pPr>
            <w:r>
              <w:rPr>
                <w:rFonts w:ascii="Times New Roman" w:hAnsi="Times New Roman" w:cs="Times New Roman"/>
                <w:color w:val="000000"/>
                <w:sz w:val="24"/>
                <w:szCs w:val="24"/>
              </w:rPr>
              <w:t>• оформление и учет залоговых операций с ценными бумагами депонентов;</w:t>
            </w:r>
          </w:p>
          <w:p w:rsidR="008A0FD6" w:rsidRDefault="00A1526E">
            <w:pPr>
              <w:spacing w:after="0" w:line="240" w:lineRule="auto"/>
              <w:jc w:val="both"/>
              <w:rPr>
                <w:sz w:val="24"/>
                <w:szCs w:val="24"/>
              </w:rPr>
            </w:pPr>
            <w:r>
              <w:rPr>
                <w:rFonts w:ascii="Times New Roman" w:hAnsi="Times New Roman" w:cs="Times New Roman"/>
                <w:color w:val="000000"/>
                <w:sz w:val="24"/>
                <w:szCs w:val="24"/>
              </w:rPr>
              <w:t>• предоставление информации об эмитенте;</w:t>
            </w:r>
          </w:p>
        </w:tc>
      </w:tr>
      <w:tr w:rsidR="008A0FD6">
        <w:trPr>
          <w:trHeight w:hRule="exact" w:val="277"/>
        </w:trPr>
        <w:tc>
          <w:tcPr>
            <w:tcW w:w="9654"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0FD6">
        <w:trPr>
          <w:trHeight w:hRule="exact" w:val="14"/>
        </w:trPr>
        <w:tc>
          <w:tcPr>
            <w:tcW w:w="285" w:type="dxa"/>
          </w:tcPr>
          <w:p w:rsidR="008A0FD6" w:rsidRDefault="008A0FD6"/>
        </w:tc>
        <w:tc>
          <w:tcPr>
            <w:tcW w:w="9356" w:type="dxa"/>
          </w:tcPr>
          <w:p w:rsidR="008A0FD6" w:rsidRDefault="008A0FD6"/>
        </w:tc>
      </w:tr>
      <w:tr w:rsidR="008A0FD6">
        <w:trPr>
          <w:trHeight w:hRule="exact" w:val="304"/>
        </w:trPr>
        <w:tc>
          <w:tcPr>
            <w:tcW w:w="9654"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Депозитарная инфраструктура рынка ценных бумаг.</w:t>
            </w:r>
          </w:p>
        </w:tc>
      </w:tr>
      <w:tr w:rsidR="008A0FD6">
        <w:trPr>
          <w:trHeight w:hRule="exact" w:val="285"/>
        </w:trPr>
        <w:tc>
          <w:tcPr>
            <w:tcW w:w="9654" w:type="dxa"/>
            <w:gridSpan w:val="2"/>
            <w:shd w:val="clear" w:color="000000" w:fill="FFFFFF"/>
            <w:tcMar>
              <w:left w:w="34" w:type="dxa"/>
              <w:right w:w="34" w:type="dxa"/>
            </w:tcMar>
          </w:tcPr>
          <w:p w:rsidR="008A0FD6" w:rsidRDefault="008A0FD6">
            <w:pPr>
              <w:spacing w:after="0" w:line="240" w:lineRule="auto"/>
              <w:jc w:val="both"/>
              <w:rPr>
                <w:sz w:val="24"/>
                <w:szCs w:val="24"/>
              </w:rPr>
            </w:pPr>
          </w:p>
        </w:tc>
      </w:tr>
      <w:tr w:rsidR="008A0FD6">
        <w:trPr>
          <w:trHeight w:hRule="exact" w:val="14"/>
        </w:trPr>
        <w:tc>
          <w:tcPr>
            <w:tcW w:w="285" w:type="dxa"/>
          </w:tcPr>
          <w:p w:rsidR="008A0FD6" w:rsidRDefault="008A0FD6"/>
        </w:tc>
        <w:tc>
          <w:tcPr>
            <w:tcW w:w="9356" w:type="dxa"/>
          </w:tcPr>
          <w:p w:rsidR="008A0FD6" w:rsidRDefault="008A0FD6"/>
        </w:tc>
      </w:tr>
      <w:tr w:rsidR="008A0FD6">
        <w:trPr>
          <w:trHeight w:hRule="exact" w:val="304"/>
        </w:trPr>
        <w:tc>
          <w:tcPr>
            <w:tcW w:w="9654"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Государственное регулирование рынка ценных бумаг в России</w:t>
            </w:r>
          </w:p>
        </w:tc>
      </w:tr>
      <w:tr w:rsidR="008A0FD6">
        <w:trPr>
          <w:trHeight w:hRule="exact" w:val="285"/>
        </w:trPr>
        <w:tc>
          <w:tcPr>
            <w:tcW w:w="9654" w:type="dxa"/>
            <w:gridSpan w:val="2"/>
            <w:shd w:val="clear" w:color="000000" w:fill="FFFFFF"/>
            <w:tcMar>
              <w:left w:w="34" w:type="dxa"/>
              <w:right w:w="34" w:type="dxa"/>
            </w:tcMar>
          </w:tcPr>
          <w:p w:rsidR="008A0FD6" w:rsidRDefault="008A0FD6">
            <w:pPr>
              <w:spacing w:after="0" w:line="240" w:lineRule="auto"/>
              <w:jc w:val="both"/>
              <w:rPr>
                <w:sz w:val="24"/>
                <w:szCs w:val="24"/>
              </w:rPr>
            </w:pPr>
          </w:p>
        </w:tc>
      </w:tr>
      <w:tr w:rsidR="008A0FD6">
        <w:trPr>
          <w:trHeight w:hRule="exact" w:val="14"/>
        </w:trPr>
        <w:tc>
          <w:tcPr>
            <w:tcW w:w="285" w:type="dxa"/>
          </w:tcPr>
          <w:p w:rsidR="008A0FD6" w:rsidRDefault="008A0FD6"/>
        </w:tc>
        <w:tc>
          <w:tcPr>
            <w:tcW w:w="9356" w:type="dxa"/>
          </w:tcPr>
          <w:p w:rsidR="008A0FD6" w:rsidRDefault="008A0FD6"/>
        </w:tc>
      </w:tr>
      <w:tr w:rsidR="008A0FD6">
        <w:trPr>
          <w:trHeight w:hRule="exact" w:val="304"/>
        </w:trPr>
        <w:tc>
          <w:tcPr>
            <w:tcW w:w="9654" w:type="dxa"/>
            <w:gridSpan w:val="2"/>
            <w:shd w:val="clear" w:color="000000" w:fill="FFFFFF"/>
            <w:tcMar>
              <w:left w:w="34" w:type="dxa"/>
              <w:right w:w="34" w:type="dxa"/>
            </w:tcMar>
          </w:tcPr>
          <w:p w:rsidR="008A0FD6" w:rsidRDefault="00A1526E">
            <w:pPr>
              <w:spacing w:after="0" w:line="240" w:lineRule="auto"/>
              <w:jc w:val="center"/>
              <w:rPr>
                <w:sz w:val="24"/>
                <w:szCs w:val="24"/>
              </w:rPr>
            </w:pPr>
            <w:r>
              <w:rPr>
                <w:rFonts w:ascii="Times New Roman" w:hAnsi="Times New Roman" w:cs="Times New Roman"/>
                <w:b/>
                <w:color w:val="000000"/>
                <w:sz w:val="24"/>
                <w:szCs w:val="24"/>
              </w:rPr>
              <w:t>Инфраструктура рынка ценных бумаг Российской Федерации</w:t>
            </w:r>
          </w:p>
        </w:tc>
      </w:tr>
      <w:tr w:rsidR="008A0FD6">
        <w:trPr>
          <w:trHeight w:hRule="exact" w:val="285"/>
        </w:trPr>
        <w:tc>
          <w:tcPr>
            <w:tcW w:w="9654" w:type="dxa"/>
            <w:gridSpan w:val="2"/>
            <w:shd w:val="clear" w:color="000000" w:fill="FFFFFF"/>
            <w:tcMar>
              <w:left w:w="34" w:type="dxa"/>
              <w:right w:w="34" w:type="dxa"/>
            </w:tcMar>
          </w:tcPr>
          <w:p w:rsidR="008A0FD6" w:rsidRDefault="008A0FD6">
            <w:pPr>
              <w:spacing w:after="0" w:line="240" w:lineRule="auto"/>
              <w:jc w:val="both"/>
              <w:rPr>
                <w:sz w:val="24"/>
                <w:szCs w:val="24"/>
              </w:rPr>
            </w:pPr>
          </w:p>
        </w:tc>
      </w:tr>
      <w:tr w:rsidR="008A0FD6">
        <w:trPr>
          <w:trHeight w:hRule="exact" w:val="14"/>
        </w:trPr>
        <w:tc>
          <w:tcPr>
            <w:tcW w:w="285" w:type="dxa"/>
          </w:tcPr>
          <w:p w:rsidR="008A0FD6" w:rsidRDefault="008A0FD6"/>
        </w:tc>
        <w:tc>
          <w:tcPr>
            <w:tcW w:w="9356" w:type="dxa"/>
          </w:tcPr>
          <w:p w:rsidR="008A0FD6" w:rsidRDefault="008A0FD6"/>
        </w:tc>
      </w:tr>
      <w:tr w:rsidR="008A0FD6">
        <w:trPr>
          <w:trHeight w:hRule="exact" w:val="277"/>
        </w:trPr>
        <w:tc>
          <w:tcPr>
            <w:tcW w:w="9654" w:type="dxa"/>
            <w:gridSpan w:val="2"/>
            <w:shd w:val="clear" w:color="000000" w:fill="FFFFFF"/>
            <w:tcMar>
              <w:left w:w="34" w:type="dxa"/>
              <w:right w:w="34" w:type="dxa"/>
            </w:tcMar>
          </w:tcPr>
          <w:p w:rsidR="008A0FD6" w:rsidRDefault="008A0FD6"/>
        </w:tc>
      </w:tr>
      <w:tr w:rsidR="008A0FD6">
        <w:trPr>
          <w:trHeight w:hRule="exact" w:val="285"/>
        </w:trPr>
        <w:tc>
          <w:tcPr>
            <w:tcW w:w="9654" w:type="dxa"/>
            <w:gridSpan w:val="2"/>
            <w:shd w:val="clear" w:color="000000" w:fill="FFFFFF"/>
            <w:tcMar>
              <w:left w:w="34" w:type="dxa"/>
              <w:right w:w="34" w:type="dxa"/>
            </w:tcMar>
          </w:tcPr>
          <w:p w:rsidR="008A0FD6" w:rsidRDefault="008A0FD6">
            <w:pPr>
              <w:spacing w:after="0" w:line="240" w:lineRule="auto"/>
              <w:jc w:val="both"/>
              <w:rPr>
                <w:sz w:val="24"/>
                <w:szCs w:val="24"/>
              </w:rPr>
            </w:pPr>
          </w:p>
        </w:tc>
      </w:tr>
      <w:tr w:rsidR="008A0FD6">
        <w:trPr>
          <w:trHeight w:hRule="exact" w:val="855"/>
        </w:trPr>
        <w:tc>
          <w:tcPr>
            <w:tcW w:w="9654" w:type="dxa"/>
            <w:gridSpan w:val="2"/>
            <w:shd w:val="clear" w:color="000000" w:fill="FFFFFF"/>
            <w:tcMar>
              <w:left w:w="34" w:type="dxa"/>
              <w:right w:w="34" w:type="dxa"/>
            </w:tcMar>
          </w:tcPr>
          <w:p w:rsidR="008A0FD6" w:rsidRDefault="008A0FD6">
            <w:pPr>
              <w:spacing w:after="0" w:line="240" w:lineRule="auto"/>
              <w:rPr>
                <w:sz w:val="24"/>
                <w:szCs w:val="24"/>
              </w:rPr>
            </w:pPr>
          </w:p>
          <w:p w:rsidR="008A0FD6" w:rsidRDefault="00A152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0FD6">
        <w:trPr>
          <w:trHeight w:hRule="exact" w:val="5182"/>
        </w:trPr>
        <w:tc>
          <w:tcPr>
            <w:tcW w:w="9654" w:type="dxa"/>
            <w:gridSpan w:val="2"/>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«Депозитарные операции с ценными бумагами (практикум)» / Долженко С.П.. – Омск: Изд-во Омской гуманитарной академии, 2022.</w:t>
            </w:r>
          </w:p>
          <w:p w:rsidR="008A0FD6" w:rsidRDefault="00A152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0FD6" w:rsidRDefault="00A152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0FD6" w:rsidRDefault="00A152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0FD6">
        <w:trPr>
          <w:trHeight w:hRule="exact" w:val="138"/>
        </w:trPr>
        <w:tc>
          <w:tcPr>
            <w:tcW w:w="285" w:type="dxa"/>
          </w:tcPr>
          <w:p w:rsidR="008A0FD6" w:rsidRDefault="008A0FD6"/>
        </w:tc>
        <w:tc>
          <w:tcPr>
            <w:tcW w:w="9356" w:type="dxa"/>
          </w:tcPr>
          <w:p w:rsidR="008A0FD6" w:rsidRDefault="008A0FD6"/>
        </w:tc>
      </w:tr>
      <w:tr w:rsidR="008A0FD6">
        <w:trPr>
          <w:trHeight w:hRule="exact" w:val="855"/>
        </w:trPr>
        <w:tc>
          <w:tcPr>
            <w:tcW w:w="9654" w:type="dxa"/>
            <w:gridSpan w:val="2"/>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0FD6" w:rsidRDefault="00A1526E">
            <w:pPr>
              <w:spacing w:after="0" w:line="240" w:lineRule="auto"/>
              <w:rPr>
                <w:sz w:val="24"/>
                <w:szCs w:val="24"/>
              </w:rPr>
            </w:pPr>
            <w:r>
              <w:rPr>
                <w:rFonts w:ascii="Times New Roman" w:hAnsi="Times New Roman" w:cs="Times New Roman"/>
                <w:b/>
                <w:color w:val="000000"/>
                <w:sz w:val="24"/>
                <w:szCs w:val="24"/>
              </w:rPr>
              <w:t>Основная:</w:t>
            </w:r>
          </w:p>
        </w:tc>
      </w:tr>
      <w:tr w:rsidR="008A0FD6">
        <w:trPr>
          <w:trHeight w:hRule="exact" w:val="555"/>
        </w:trPr>
        <w:tc>
          <w:tcPr>
            <w:tcW w:w="9654" w:type="dxa"/>
            <w:gridSpan w:val="2"/>
            <w:shd w:val="clear" w:color="000000" w:fill="FFFFFF"/>
            <w:tcMar>
              <w:left w:w="34" w:type="dxa"/>
              <w:right w:w="34" w:type="dxa"/>
            </w:tcMar>
          </w:tcPr>
          <w:p w:rsidR="008A0FD6" w:rsidRDefault="00A152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4D8B">
                <w:rPr>
                  <w:rStyle w:val="a3"/>
                </w:rPr>
                <w:t>https://urait.ru/bcode/433137</w:t>
              </w:r>
            </w:hyperlink>
            <w:r>
              <w:t xml:space="preserve"> </w:t>
            </w:r>
          </w:p>
        </w:tc>
      </w:tr>
      <w:tr w:rsidR="008A0FD6">
        <w:trPr>
          <w:trHeight w:hRule="exact" w:val="826"/>
        </w:trPr>
        <w:tc>
          <w:tcPr>
            <w:tcW w:w="9654" w:type="dxa"/>
            <w:gridSpan w:val="2"/>
            <w:shd w:val="clear" w:color="000000" w:fill="FFFFFF"/>
            <w:tcMar>
              <w:left w:w="34" w:type="dxa"/>
              <w:right w:w="34" w:type="dxa"/>
            </w:tcMar>
          </w:tcPr>
          <w:p w:rsidR="008A0FD6" w:rsidRDefault="00A152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Скрипниченко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Мальцев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4D8B">
                <w:rPr>
                  <w:rStyle w:val="a3"/>
                </w:rPr>
                <w:t>http://www.iprbookshop.ru/65356.html</w:t>
              </w:r>
            </w:hyperlink>
            <w:r>
              <w:t xml:space="preserve"> </w:t>
            </w:r>
          </w:p>
        </w:tc>
      </w:tr>
      <w:tr w:rsidR="008A0FD6">
        <w:trPr>
          <w:trHeight w:hRule="exact" w:val="277"/>
        </w:trPr>
        <w:tc>
          <w:tcPr>
            <w:tcW w:w="285" w:type="dxa"/>
          </w:tcPr>
          <w:p w:rsidR="008A0FD6" w:rsidRDefault="008A0FD6"/>
        </w:tc>
        <w:tc>
          <w:tcPr>
            <w:tcW w:w="9370"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i/>
                <w:color w:val="000000"/>
                <w:sz w:val="24"/>
                <w:szCs w:val="24"/>
              </w:rPr>
              <w:t>Дополнительная:</w:t>
            </w:r>
          </w:p>
        </w:tc>
      </w:tr>
      <w:tr w:rsidR="008A0FD6">
        <w:trPr>
          <w:trHeight w:hRule="exact" w:val="26"/>
        </w:trPr>
        <w:tc>
          <w:tcPr>
            <w:tcW w:w="9654" w:type="dxa"/>
            <w:gridSpan w:val="2"/>
            <w:vMerge w:val="restart"/>
            <w:shd w:val="clear" w:color="000000" w:fill="FFFFFF"/>
            <w:tcMar>
              <w:left w:w="34" w:type="dxa"/>
              <w:right w:w="34" w:type="dxa"/>
            </w:tcMar>
          </w:tcPr>
          <w:p w:rsidR="008A0FD6" w:rsidRDefault="00A152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банков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ценными</w:t>
            </w:r>
            <w:r>
              <w:t xml:space="preserve"> </w:t>
            </w:r>
            <w:r>
              <w:rPr>
                <w:rFonts w:ascii="Times New Roman" w:hAnsi="Times New Roman" w:cs="Times New Roman"/>
                <w:color w:val="000000"/>
                <w:sz w:val="24"/>
                <w:szCs w:val="24"/>
              </w:rPr>
              <w:t>бумагами.</w:t>
            </w:r>
            <w:r>
              <w:t xml:space="preserve"> </w:t>
            </w:r>
            <w:r>
              <w:rPr>
                <w:rFonts w:ascii="Times New Roman" w:hAnsi="Times New Roman" w:cs="Times New Roman"/>
                <w:color w:val="000000"/>
                <w:sz w:val="24"/>
                <w:szCs w:val="24"/>
              </w:rPr>
              <w:t>Валютные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сопутствующие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Фальковская</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Пыхтин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978-5-534-11416-4.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4D8B">
                <w:rPr>
                  <w:rStyle w:val="a3"/>
                </w:rPr>
                <w:t>https://urait.ru/bcode/445262</w:t>
              </w:r>
            </w:hyperlink>
            <w:r>
              <w:t xml:space="preserve"> </w:t>
            </w:r>
          </w:p>
        </w:tc>
      </w:tr>
      <w:tr w:rsidR="008A0FD6">
        <w:trPr>
          <w:trHeight w:hRule="exact" w:val="1069"/>
        </w:trPr>
        <w:tc>
          <w:tcPr>
            <w:tcW w:w="9654" w:type="dxa"/>
            <w:gridSpan w:val="2"/>
            <w:vMerge/>
            <w:shd w:val="clear" w:color="000000" w:fill="FFFFFF"/>
            <w:tcMar>
              <w:left w:w="34" w:type="dxa"/>
              <w:right w:w="34" w:type="dxa"/>
            </w:tcMar>
          </w:tcPr>
          <w:p w:rsidR="008A0FD6" w:rsidRDefault="008A0FD6"/>
        </w:tc>
      </w:tr>
      <w:tr w:rsidR="008A0FD6">
        <w:trPr>
          <w:trHeight w:hRule="exact" w:val="1026"/>
        </w:trPr>
        <w:tc>
          <w:tcPr>
            <w:tcW w:w="9654" w:type="dxa"/>
            <w:gridSpan w:val="2"/>
            <w:shd w:val="clear" w:color="000000" w:fill="FFFFFF"/>
            <w:tcMar>
              <w:left w:w="34" w:type="dxa"/>
              <w:right w:w="34" w:type="dxa"/>
            </w:tcMar>
          </w:tcPr>
          <w:p w:rsidR="008A0FD6" w:rsidRDefault="00A152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институтов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Финансово-кредитные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институтов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555"/>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lastRenderedPageBreak/>
              <w:t>Издательство</w:t>
            </w:r>
            <w:r>
              <w:t xml:space="preserve"> </w:t>
            </w:r>
            <w:r>
              <w:rPr>
                <w:rFonts w:ascii="Times New Roman" w:hAnsi="Times New Roman" w:cs="Times New Roman"/>
                <w:color w:val="000000"/>
                <w:sz w:val="24"/>
                <w:szCs w:val="24"/>
              </w:rPr>
              <w:t>Омского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978-5-7779-2261-8.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4D8B">
                <w:rPr>
                  <w:rStyle w:val="a3"/>
                </w:rPr>
                <w:t>http://www.iprbookshop.ru/108145.html</w:t>
              </w:r>
            </w:hyperlink>
            <w:r>
              <w:t xml:space="preserve"> </w:t>
            </w:r>
          </w:p>
        </w:tc>
      </w:tr>
      <w:tr w:rsidR="008A0FD6">
        <w:trPr>
          <w:trHeight w:hRule="exact" w:val="1096"/>
        </w:trPr>
        <w:tc>
          <w:tcPr>
            <w:tcW w:w="9654" w:type="dxa"/>
            <w:shd w:val="clear" w:color="000000" w:fill="FFFFFF"/>
            <w:tcMar>
              <w:left w:w="34" w:type="dxa"/>
              <w:right w:w="34" w:type="dxa"/>
            </w:tcMar>
          </w:tcPr>
          <w:p w:rsidR="008A0FD6" w:rsidRDefault="00A152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Банковские</w:t>
            </w:r>
            <w:r>
              <w:t xml:space="preserve"> </w:t>
            </w:r>
            <w:r>
              <w:rPr>
                <w:rFonts w:ascii="Times New Roman" w:hAnsi="Times New Roman" w:cs="Times New Roman"/>
                <w:color w:val="000000"/>
                <w:sz w:val="24"/>
                <w:szCs w:val="24"/>
              </w:rPr>
              <w:t>ипотечные</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(Сovered</w:t>
            </w:r>
            <w:r>
              <w:t xml:space="preserve"> </w:t>
            </w:r>
            <w:r>
              <w:rPr>
                <w:rFonts w:ascii="Times New Roman" w:hAnsi="Times New Roman" w:cs="Times New Roman"/>
                <w:color w:val="000000"/>
                <w:sz w:val="24"/>
                <w:szCs w:val="24"/>
              </w:rPr>
              <w:t>Bonds)</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w:t>
            </w:r>
            <w:r>
              <w:t xml:space="preserve"> </w:t>
            </w:r>
            <w:r>
              <w:rPr>
                <w:rFonts w:ascii="Times New Roman" w:hAnsi="Times New Roman" w:cs="Times New Roman"/>
                <w:color w:val="000000"/>
                <w:sz w:val="24"/>
                <w:szCs w:val="24"/>
              </w:rPr>
              <w:t>Лассен.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Банковские</w:t>
            </w:r>
            <w:r>
              <w:t xml:space="preserve"> </w:t>
            </w:r>
            <w:r>
              <w:rPr>
                <w:rFonts w:ascii="Times New Roman" w:hAnsi="Times New Roman" w:cs="Times New Roman"/>
                <w:color w:val="000000"/>
                <w:sz w:val="24"/>
                <w:szCs w:val="24"/>
              </w:rPr>
              <w:t>ипотечные</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(Сovered</w:t>
            </w:r>
            <w:r>
              <w:t xml:space="preserve"> </w:t>
            </w:r>
            <w:r>
              <w:rPr>
                <w:rFonts w:ascii="Times New Roman" w:hAnsi="Times New Roman" w:cs="Times New Roman"/>
                <w:color w:val="000000"/>
                <w:sz w:val="24"/>
                <w:szCs w:val="24"/>
              </w:rPr>
              <w:t>Bonds)</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978-5-8354-1569-4.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4D8B">
                <w:rPr>
                  <w:rStyle w:val="a3"/>
                </w:rPr>
                <w:t>http://www.iprbookshop.ru/94596.html</w:t>
              </w:r>
            </w:hyperlink>
            <w:r>
              <w:t xml:space="preserve"> </w:t>
            </w:r>
          </w:p>
        </w:tc>
      </w:tr>
      <w:tr w:rsidR="008A0FD6">
        <w:trPr>
          <w:trHeight w:hRule="exact" w:val="585"/>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0FD6">
        <w:trPr>
          <w:trHeight w:hRule="exact" w:val="9751"/>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04D8B">
                <w:rPr>
                  <w:rStyle w:val="a3"/>
                  <w:rFonts w:ascii="Times New Roman" w:hAnsi="Times New Roman" w:cs="Times New Roman"/>
                  <w:sz w:val="24"/>
                  <w:szCs w:val="24"/>
                </w:rPr>
                <w:t>http://www.iprbookshop.ru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04D8B">
                <w:rPr>
                  <w:rStyle w:val="a3"/>
                  <w:rFonts w:ascii="Times New Roman" w:hAnsi="Times New Roman" w:cs="Times New Roman"/>
                  <w:sz w:val="24"/>
                  <w:szCs w:val="24"/>
                </w:rPr>
                <w:t>http://biblio-online.ru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04D8B">
                <w:rPr>
                  <w:rStyle w:val="a3"/>
                  <w:rFonts w:ascii="Times New Roman" w:hAnsi="Times New Roman" w:cs="Times New Roman"/>
                  <w:sz w:val="24"/>
                  <w:szCs w:val="24"/>
                </w:rPr>
                <w:t>http://window.edu.ru/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04D8B">
                <w:rPr>
                  <w:rStyle w:val="a3"/>
                  <w:rFonts w:ascii="Times New Roman" w:hAnsi="Times New Roman" w:cs="Times New Roman"/>
                  <w:sz w:val="24"/>
                  <w:szCs w:val="24"/>
                </w:rPr>
                <w:t>http://elibrary.ru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04D8B">
                <w:rPr>
                  <w:rStyle w:val="a3"/>
                  <w:rFonts w:ascii="Times New Roman" w:hAnsi="Times New Roman" w:cs="Times New Roman"/>
                  <w:sz w:val="24"/>
                  <w:szCs w:val="24"/>
                </w:rPr>
                <w:t>http://www.sciencedirect.com</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04D8B">
                <w:rPr>
                  <w:rStyle w:val="a3"/>
                  <w:rFonts w:ascii="Times New Roman" w:hAnsi="Times New Roman" w:cs="Times New Roman"/>
                  <w:sz w:val="24"/>
                  <w:szCs w:val="24"/>
                </w:rPr>
                <w:t>http://journals.cambridge.org</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04D8B">
                <w:rPr>
                  <w:rStyle w:val="a3"/>
                  <w:rFonts w:ascii="Times New Roman" w:hAnsi="Times New Roman" w:cs="Times New Roman"/>
                  <w:sz w:val="24"/>
                  <w:szCs w:val="24"/>
                </w:rPr>
                <w:t>http://www.oxfordjoumals.org</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04D8B">
                <w:rPr>
                  <w:rStyle w:val="a3"/>
                  <w:rFonts w:ascii="Times New Roman" w:hAnsi="Times New Roman" w:cs="Times New Roman"/>
                  <w:sz w:val="24"/>
                  <w:szCs w:val="24"/>
                </w:rPr>
                <w:t>http://dic.academic.ru/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04D8B">
                <w:rPr>
                  <w:rStyle w:val="a3"/>
                  <w:rFonts w:ascii="Times New Roman" w:hAnsi="Times New Roman" w:cs="Times New Roman"/>
                  <w:sz w:val="24"/>
                  <w:szCs w:val="24"/>
                </w:rPr>
                <w:t>http://www.benran.ru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04D8B">
                <w:rPr>
                  <w:rStyle w:val="a3"/>
                  <w:rFonts w:ascii="Times New Roman" w:hAnsi="Times New Roman" w:cs="Times New Roman"/>
                  <w:sz w:val="24"/>
                  <w:szCs w:val="24"/>
                </w:rPr>
                <w:t>http://www.gks.ru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04D8B">
                <w:rPr>
                  <w:rStyle w:val="a3"/>
                  <w:rFonts w:ascii="Times New Roman" w:hAnsi="Times New Roman" w:cs="Times New Roman"/>
                  <w:sz w:val="24"/>
                  <w:szCs w:val="24"/>
                </w:rPr>
                <w:t>http://diss.rsl.ru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04D8B">
                <w:rPr>
                  <w:rStyle w:val="a3"/>
                  <w:rFonts w:ascii="Times New Roman" w:hAnsi="Times New Roman" w:cs="Times New Roman"/>
                  <w:sz w:val="24"/>
                  <w:szCs w:val="24"/>
                </w:rPr>
                <w:t>http://ru.spinform.ru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0FD6" w:rsidRDefault="00A152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0FD6">
        <w:trPr>
          <w:trHeight w:hRule="exact" w:val="31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0FD6">
        <w:trPr>
          <w:trHeight w:hRule="exact" w:val="3088"/>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10726"/>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8A0FD6" w:rsidRDefault="00A152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0FD6" w:rsidRDefault="00A152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0FD6" w:rsidRDefault="00A152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0FD6" w:rsidRDefault="00A152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0FD6" w:rsidRDefault="00A152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0FD6" w:rsidRDefault="00A152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0FD6" w:rsidRDefault="00A152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0FD6" w:rsidRDefault="00A152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0FD6" w:rsidRDefault="00A152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0FD6" w:rsidRDefault="00A152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0FD6">
        <w:trPr>
          <w:trHeight w:hRule="exact" w:val="855"/>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0FD6">
        <w:trPr>
          <w:trHeight w:hRule="exact" w:val="2989"/>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0FD6" w:rsidRDefault="008A0FD6">
            <w:pPr>
              <w:spacing w:after="0" w:line="240" w:lineRule="auto"/>
              <w:jc w:val="both"/>
              <w:rPr>
                <w:sz w:val="24"/>
                <w:szCs w:val="24"/>
              </w:rPr>
            </w:pPr>
          </w:p>
          <w:p w:rsidR="008A0FD6" w:rsidRDefault="00A152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0FD6" w:rsidRDefault="00A152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0FD6" w:rsidRDefault="00A152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0FD6" w:rsidRDefault="00A152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0FD6" w:rsidRDefault="00A152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0FD6" w:rsidRDefault="00A152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0FD6" w:rsidRDefault="008A0FD6">
            <w:pPr>
              <w:spacing w:after="0" w:line="240" w:lineRule="auto"/>
              <w:jc w:val="both"/>
              <w:rPr>
                <w:sz w:val="24"/>
                <w:szCs w:val="24"/>
              </w:rPr>
            </w:pPr>
          </w:p>
          <w:p w:rsidR="008A0FD6" w:rsidRDefault="00A152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4" w:history="1">
              <w:r w:rsidR="00A04D8B">
                <w:rPr>
                  <w:rStyle w:val="a3"/>
                  <w:rFonts w:ascii="Times New Roman" w:hAnsi="Times New Roman" w:cs="Times New Roman"/>
                  <w:sz w:val="24"/>
                  <w:szCs w:val="24"/>
                </w:rPr>
                <w:t>http://www.president.kremlin.ru</w:t>
              </w:r>
            </w:hyperlink>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04D8B">
                <w:rPr>
                  <w:rStyle w:val="a3"/>
                  <w:rFonts w:ascii="Times New Roman" w:hAnsi="Times New Roman" w:cs="Times New Roman"/>
                  <w:sz w:val="24"/>
                  <w:szCs w:val="24"/>
                </w:rPr>
                <w:t>http://www.ict.edu.ru</w:t>
              </w:r>
            </w:hyperlink>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0FD6">
        <w:trPr>
          <w:trHeight w:hRule="exact" w:val="585"/>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0FD6" w:rsidRDefault="00A1526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04D8B">
                <w:rPr>
                  <w:rStyle w:val="a3"/>
                  <w:rFonts w:ascii="Times New Roman" w:hAnsi="Times New Roman" w:cs="Times New Roman"/>
                  <w:sz w:val="24"/>
                  <w:szCs w:val="24"/>
                </w:rPr>
                <w:t>http://fgosvo.ru</w:t>
              </w:r>
            </w:hyperlink>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04D8B">
                <w:rPr>
                  <w:rStyle w:val="a3"/>
                  <w:rFonts w:ascii="Times New Roman" w:hAnsi="Times New Roman" w:cs="Times New Roman"/>
                  <w:sz w:val="24"/>
                  <w:szCs w:val="24"/>
                </w:rPr>
                <w:t>http://pravo.gov.ru</w:t>
              </w:r>
            </w:hyperlink>
          </w:p>
        </w:tc>
      </w:tr>
      <w:tr w:rsidR="008A0FD6">
        <w:trPr>
          <w:trHeight w:hRule="exact" w:val="30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04D8B">
                <w:rPr>
                  <w:rStyle w:val="a3"/>
                  <w:rFonts w:ascii="Times New Roman" w:hAnsi="Times New Roman" w:cs="Times New Roman"/>
                  <w:sz w:val="24"/>
                  <w:szCs w:val="24"/>
                </w:rPr>
                <w:t>http://edu.garant.ru/omga/</w:t>
              </w:r>
            </w:hyperlink>
          </w:p>
        </w:tc>
      </w:tr>
      <w:tr w:rsidR="008A0FD6">
        <w:trPr>
          <w:trHeight w:hRule="exact" w:val="585"/>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04D8B">
                <w:rPr>
                  <w:rStyle w:val="a3"/>
                  <w:rFonts w:ascii="Times New Roman" w:hAnsi="Times New Roman" w:cs="Times New Roman"/>
                  <w:sz w:val="24"/>
                  <w:szCs w:val="24"/>
                </w:rPr>
                <w:t>http://www.consultant.ru/edu/student/study/</w:t>
              </w:r>
            </w:hyperlink>
          </w:p>
        </w:tc>
      </w:tr>
      <w:tr w:rsidR="008A0FD6">
        <w:trPr>
          <w:trHeight w:hRule="exact" w:val="314"/>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0FD6">
        <w:trPr>
          <w:trHeight w:hRule="exact" w:val="7587"/>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0FD6" w:rsidRDefault="00A152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0FD6" w:rsidRDefault="00A152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0FD6" w:rsidRDefault="00A152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0FD6" w:rsidRDefault="00A152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0FD6" w:rsidRDefault="00A152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0FD6" w:rsidRDefault="00A152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0FD6" w:rsidRDefault="00A152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0FD6" w:rsidRDefault="00A152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0FD6" w:rsidRDefault="00A152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0FD6" w:rsidRDefault="00A152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0FD6" w:rsidRDefault="00A152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0FD6" w:rsidRDefault="00A152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0FD6" w:rsidRDefault="00A152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0FD6">
        <w:trPr>
          <w:trHeight w:hRule="exact" w:val="277"/>
        </w:trPr>
        <w:tc>
          <w:tcPr>
            <w:tcW w:w="9640" w:type="dxa"/>
          </w:tcPr>
          <w:p w:rsidR="008A0FD6" w:rsidRDefault="008A0FD6"/>
        </w:tc>
      </w:tr>
      <w:tr w:rsidR="008A0FD6">
        <w:trPr>
          <w:trHeight w:hRule="exact" w:val="585"/>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0FD6">
        <w:trPr>
          <w:trHeight w:hRule="exact" w:val="3933"/>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0FD6" w:rsidRDefault="00A152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0FD6" w:rsidRDefault="00A152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10292"/>
        </w:trPr>
        <w:tc>
          <w:tcPr>
            <w:tcW w:w="9654" w:type="dxa"/>
            <w:shd w:val="clear" w:color="000000" w:fill="FFFFFF"/>
            <w:tcMar>
              <w:left w:w="34" w:type="dxa"/>
              <w:right w:w="34" w:type="dxa"/>
            </w:tcMar>
          </w:tcPr>
          <w:p w:rsidR="008A0FD6" w:rsidRDefault="00A1526E">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0FD6" w:rsidRDefault="00A152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0FD6" w:rsidRDefault="00A1526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A0FD6" w:rsidRDefault="00A152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0FD6">
        <w:trPr>
          <w:trHeight w:hRule="exact" w:val="2748"/>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A0FD6">
        <w:trPr>
          <w:trHeight w:hRule="exact" w:val="2351"/>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8A0FD6" w:rsidRDefault="00A152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FD6">
        <w:trPr>
          <w:trHeight w:hRule="exact" w:val="1666"/>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A0FD6">
        <w:trPr>
          <w:trHeight w:hRule="exact" w:val="3830"/>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A0FD6">
        <w:trPr>
          <w:trHeight w:hRule="exact" w:val="1666"/>
        </w:trPr>
        <w:tc>
          <w:tcPr>
            <w:tcW w:w="9654" w:type="dxa"/>
            <w:shd w:val="clear" w:color="000000" w:fill="FFFFFF"/>
            <w:tcMar>
              <w:left w:w="34" w:type="dxa"/>
              <w:right w:w="34" w:type="dxa"/>
            </w:tcMar>
          </w:tcPr>
          <w:p w:rsidR="008A0FD6" w:rsidRDefault="00A1526E">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A0FD6" w:rsidRDefault="008A0FD6"/>
    <w:sectPr w:rsidR="008A0F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A0FD6"/>
    <w:rsid w:val="00A04D8B"/>
    <w:rsid w:val="00A1526E"/>
    <w:rsid w:val="00B54F3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26E"/>
    <w:rPr>
      <w:color w:val="0563C1" w:themeColor="hyperlink"/>
      <w:u w:val="single"/>
    </w:rPr>
  </w:style>
  <w:style w:type="character" w:styleId="a4">
    <w:name w:val="Unresolved Mention"/>
    <w:basedOn w:val="a0"/>
    <w:uiPriority w:val="99"/>
    <w:semiHidden/>
    <w:unhideWhenUsed/>
    <w:rsid w:val="00A1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www.iprbookshop.ru/10814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526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6535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13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www.iprbookshop.ru/945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6301</Words>
  <Characters>35917</Characters>
  <Application>Microsoft Office Word</Application>
  <DocSecurity>0</DocSecurity>
  <Lines>299</Lines>
  <Paragraphs>84</Paragraphs>
  <ScaleCrop>false</ScaleCrop>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2022-2023_ФГОС3++2022_Бак-ОФО-Э(ФКиА)(22)_plx_Депозитарные операции с ценными бумагами (практикум)</dc:title>
  <dc:creator>FastReport.NET</dc:creator>
  <cp:lastModifiedBy>Mark Bernstorf</cp:lastModifiedBy>
  <cp:revision>4</cp:revision>
  <dcterms:created xsi:type="dcterms:W3CDTF">2022-05-01T22:18:00Z</dcterms:created>
  <dcterms:modified xsi:type="dcterms:W3CDTF">2022-11-12T12:03:00Z</dcterms:modified>
</cp:coreProperties>
</file>